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S6-242214</w:t>
      </w:r>
    </w:p>
    <w:p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S6-242xxx)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Service aspects for supporting the eMMTel Service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10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New WID on Service aspects for supporting the eMMTel Service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eMMTelAPP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30"/>
            </w:pPr>
          </w:p>
        </w:tc>
        <w:tc>
          <w:tcPr>
            <w:tcW w:w="1037" w:type="dxa"/>
            <w:vAlign w:val="top"/>
          </w:tcPr>
          <w:p>
            <w:pPr>
              <w:pStyle w:val="30"/>
            </w:pPr>
          </w:p>
        </w:tc>
        <w:tc>
          <w:tcPr>
            <w:tcW w:w="850" w:type="dxa"/>
            <w:vAlign w:val="top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30"/>
            </w:pPr>
          </w:p>
        </w:tc>
        <w:tc>
          <w:tcPr>
            <w:tcW w:w="1752" w:type="dxa"/>
            <w:vAlign w:val="top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30"/>
            </w:pPr>
          </w:p>
        </w:tc>
        <w:tc>
          <w:tcPr>
            <w:tcW w:w="850" w:type="dxa"/>
            <w:vAlign w:val="top"/>
          </w:tcPr>
          <w:p>
            <w:pPr>
              <w:pStyle w:val="30"/>
            </w:pPr>
          </w:p>
        </w:tc>
        <w:tc>
          <w:tcPr>
            <w:tcW w:w="851" w:type="dxa"/>
            <w:vAlign w:val="top"/>
          </w:tcPr>
          <w:p>
            <w:pPr>
              <w:pStyle w:val="30"/>
            </w:pPr>
          </w:p>
        </w:tc>
        <w:tc>
          <w:tcPr>
            <w:tcW w:w="1752" w:type="dxa"/>
            <w:vAlign w:val="top"/>
          </w:tcPr>
          <w:p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  <w:r>
              <w:rPr>
                <w:rFonts w:hint="eastAsia"/>
              </w:rPr>
              <w:t>FS_eMMTelAPP</w:t>
            </w:r>
          </w:p>
        </w:tc>
        <w:tc>
          <w:tcPr>
            <w:tcW w:w="1101" w:type="dxa"/>
          </w:tcPr>
          <w:p>
            <w:pPr>
              <w:pStyle w:val="2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>
            <w:pPr>
              <w:pStyle w:val="28"/>
            </w:pPr>
            <w:r>
              <w:rPr>
                <w:rFonts w:hint="eastAsia"/>
              </w:rPr>
              <w:t>1000034</w:t>
            </w:r>
          </w:p>
        </w:tc>
        <w:tc>
          <w:tcPr>
            <w:tcW w:w="6010" w:type="dxa"/>
          </w:tcPr>
          <w:p>
            <w:pPr>
              <w:pStyle w:val="28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hint="eastAsia" w:eastAsia="宋体"/>
                <w:lang w:val="en-US" w:eastAsia="zh-CN"/>
              </w:rPr>
              <w:t>e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Study Item of requirements of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t>970014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t>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t>940066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t>Study on 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rPr>
                <w:rFonts w:hint="eastAsia"/>
              </w:rPr>
              <w:t>1010030</w:t>
            </w:r>
          </w:p>
        </w:tc>
        <w:tc>
          <w:tcPr>
            <w:tcW w:w="3326" w:type="dxa"/>
            <w:vAlign w:val="top"/>
          </w:tcPr>
          <w:p>
            <w:pPr>
              <w:pStyle w:val="28"/>
            </w:pPr>
            <w:r>
              <w:rPr>
                <w:rFonts w:hint="eastAsia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t>990023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t>CT1 aspects of NG_RTC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rFonts w:hint="eastAsia"/>
                <w:lang w:val="en-US" w:eastAsia="zh-CN"/>
              </w:rPr>
              <w:t xml:space="preserve">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t>990086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Stage 3 normative work of system architecture to support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t>990087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</w:p>
        </w:tc>
        <w:tc>
          <w:tcPr>
            <w:tcW w:w="5099" w:type="dxa"/>
            <w:vAlign w:val="top"/>
          </w:tcPr>
          <w:p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Stage 3 normative work of system architecture to support eMMTel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eMMTel service leaded by SA3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  <w:vAlign w:val="top"/>
          </w:tcPr>
          <w:p>
            <w:pPr>
              <w:pStyle w:val="28"/>
              <w:rPr>
                <w:rFonts w:hint="eastAsia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8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eMMTel service leaded by SA3</w:t>
            </w:r>
          </w:p>
        </w:tc>
      </w:tr>
    </w:tbl>
    <w:p>
      <w:pPr>
        <w:pStyle w:val="31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rFonts w:hint="default"/>
          <w:lang w:val="en-US" w:eastAsia="zh-CN"/>
        </w:rPr>
      </w:pPr>
      <w:r>
        <w:t>The feasibility study on</w:t>
      </w:r>
      <w:r>
        <w:rPr>
          <w:rFonts w:hint="eastAsia" w:eastAsia="宋体"/>
          <w:lang w:val="en-US" w:eastAsia="zh-CN"/>
        </w:rPr>
        <w:t xml:space="preserve"> s</w:t>
      </w:r>
      <w:r>
        <w:rPr>
          <w:rFonts w:hint="eastAsia"/>
        </w:rPr>
        <w:t>ervice aspects for supporting the eMMTel servic</w:t>
      </w:r>
      <w:r>
        <w:rPr>
          <w:rFonts w:hint="eastAsia" w:eastAsia="宋体"/>
          <w:lang w:val="en-US" w:eastAsia="zh-CN"/>
        </w:rPr>
        <w:t>e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rPr>
          <w:lang w:eastAsia="en-US"/>
        </w:rPr>
        <w:t> </w:t>
      </w:r>
      <w:r>
        <w:rPr>
          <w:rFonts w:hint="eastAsia"/>
          <w:lang w:eastAsia="zh-CN"/>
        </w:rPr>
        <w:t>TR</w:t>
      </w:r>
      <w:r>
        <w:rPr>
          <w:lang w:eastAsia="en-US"/>
        </w:rPr>
        <w:t> </w:t>
      </w:r>
      <w:r>
        <w:rPr>
          <w:rFonts w:hint="eastAsia"/>
          <w:lang w:eastAsia="zh-CN"/>
        </w:rPr>
        <w:t>23.700-</w:t>
      </w:r>
      <w:r>
        <w:rPr>
          <w:rFonts w:hint="eastAsia"/>
          <w:lang w:val="en-US" w:eastAsia="zh-CN"/>
        </w:rPr>
        <w:t>92</w:t>
      </w:r>
      <w:r>
        <w:rPr>
          <w:rFonts w:hint="eastAsia"/>
          <w:lang w:eastAsia="zh-CN"/>
        </w:rPr>
        <w:t xml:space="preserve">. It </w:t>
      </w:r>
      <w:r>
        <w:t xml:space="preserve">develops </w:t>
      </w:r>
      <w:r>
        <w:rPr>
          <w:lang w:eastAsia="en-US"/>
        </w:rPr>
        <w:t xml:space="preserve">the </w:t>
      </w:r>
      <w:r>
        <w:rPr>
          <w:rFonts w:hint="eastAsia"/>
          <w:lang w:eastAsia="en-US"/>
        </w:rPr>
        <w:t xml:space="preserve">application </w:t>
      </w:r>
      <w:r>
        <w:rPr>
          <w:lang w:eastAsia="en-US"/>
        </w:rPr>
        <w:t>architecture</w:t>
      </w:r>
      <w:r>
        <w:rPr>
          <w:rFonts w:hint="eastAsia" w:eastAsia="宋体"/>
          <w:lang w:val="en-US" w:eastAsia="zh-CN"/>
        </w:rPr>
        <w:t>, procedures</w:t>
      </w:r>
      <w:r>
        <w:rPr>
          <w:lang w:eastAsia="en-US"/>
        </w:rPr>
        <w:t xml:space="preserve"> </w:t>
      </w:r>
      <w:r>
        <w:rPr>
          <w:rFonts w:hint="eastAsia" w:eastAsia="宋体"/>
          <w:lang w:val="en-US" w:eastAsia="zh-CN"/>
        </w:rPr>
        <w:t xml:space="preserve">and related APIs </w:t>
      </w:r>
      <w:r>
        <w:rPr>
          <w:lang w:eastAsia="en-US"/>
        </w:rPr>
        <w:t>needed to support</w:t>
      </w:r>
      <w:r>
        <w:rPr>
          <w:rFonts w:hint="eastAsia"/>
          <w:lang w:eastAsia="en-US"/>
        </w:rPr>
        <w:t xml:space="preserve"> </w:t>
      </w:r>
      <w:r>
        <w:rPr>
          <w:rFonts w:hint="eastAsia" w:eastAsia="宋体"/>
          <w:lang w:val="en-US" w:eastAsia="zh-CN"/>
        </w:rPr>
        <w:t>eMMTel</w:t>
      </w:r>
      <w:r>
        <w:rPr>
          <w:rFonts w:hint="eastAsia"/>
          <w:lang w:eastAsia="en-US"/>
        </w:rPr>
        <w:t xml:space="preserve"> service</w:t>
      </w:r>
      <w:r>
        <w:rPr>
          <w:rFonts w:hint="eastAsia"/>
          <w:lang w:eastAsia="zh-CN"/>
        </w:rPr>
        <w:t xml:space="preserve">. </w:t>
      </w:r>
    </w:p>
    <w:p>
      <w:pPr>
        <w:pStyle w:val="26"/>
        <w:rPr>
          <w:rFonts w:ascii="Times New Roman" w:hAnsi="Times New Roman" w:eastAsia="Times New Roman" w:cs="Times New Roman"/>
          <w:i w:val="0"/>
          <w:color w:val="auto"/>
          <w:lang w:val="en-GB" w:eastAsia="en-US" w:bidi="ar-SA"/>
        </w:rPr>
      </w:pPr>
      <w:r>
        <w:rPr>
          <w:rFonts w:hint="eastAsia" w:ascii="Times New Roman" w:hAnsi="Times New Roman" w:eastAsia="Times New Roman" w:cs="Times New Roman"/>
          <w:i w:val="0"/>
          <w:color w:val="auto"/>
          <w:lang w:val="en-GB" w:eastAsia="zh-CN" w:bidi="ar-SA"/>
        </w:rPr>
        <w:t xml:space="preserve">The future work for the </w:t>
      </w:r>
      <w:r>
        <w:rPr>
          <w:rFonts w:ascii="Times New Roman" w:hAnsi="Times New Roman" w:eastAsia="Times New Roman" w:cs="Times New Roman"/>
          <w:i w:val="0"/>
          <w:color w:val="auto"/>
          <w:lang w:val="en-GB" w:eastAsia="zh-CN" w:bidi="ar-SA"/>
        </w:rPr>
        <w:t>standardization</w:t>
      </w:r>
      <w:r>
        <w:rPr>
          <w:rFonts w:hint="eastAsia" w:ascii="Times New Roman" w:hAnsi="Times New Roman" w:eastAsia="Times New Roman" w:cs="Times New Roman"/>
          <w:i w:val="0"/>
          <w:color w:val="auto"/>
          <w:lang w:val="en-GB" w:eastAsia="zh-CN" w:bidi="ar-SA"/>
        </w:rPr>
        <w:t xml:space="preserve"> is recommended in the study.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 is to develop application layer </w:t>
      </w:r>
      <w:r>
        <w:t xml:space="preserve">solutions where </w:t>
      </w:r>
      <w:r>
        <w:rPr>
          <w:rFonts w:hint="eastAsia"/>
          <w:lang w:eastAsia="zh-CN"/>
        </w:rPr>
        <w:t>it is necessary</w:t>
      </w:r>
      <w:r>
        <w:t xml:space="preserve"> to </w:t>
      </w:r>
      <w:r>
        <w:rPr>
          <w:rFonts w:hint="eastAsia" w:eastAsia="宋体"/>
          <w:lang w:val="en-US" w:eastAsia="zh-CN"/>
        </w:rPr>
        <w:t>support</w:t>
      </w:r>
      <w:r>
        <w:t xml:space="preserve"> t</w:t>
      </w:r>
      <w:r>
        <w:rPr>
          <w:rFonts w:hint="eastAsia"/>
          <w:lang w:eastAsia="zh-CN"/>
        </w:rPr>
        <w:t>he</w:t>
      </w:r>
      <w:r>
        <w:rPr>
          <w:lang w:val="en-US" w:eastAsia="zh-CN"/>
        </w:rPr>
        <w:t xml:space="preserve"> eMMTel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 and the gaps between the service requirements of enabling eMMTel service to </w:t>
      </w:r>
      <w:r>
        <w:rPr>
          <w:lang w:val="en-US" w:eastAsia="zh-CN"/>
        </w:rPr>
        <w:t>application providers/Vertical service provider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/procedures specified by SA2. </w:t>
      </w:r>
      <w:r>
        <w:rPr>
          <w:rFonts w:hint="eastAsia"/>
          <w:lang w:eastAsia="zh-CN"/>
        </w:rPr>
        <w:t>T</w:t>
      </w:r>
      <w:r>
        <w:t xml:space="preserve">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</w:t>
      </w:r>
      <w:r>
        <w:t xml:space="preserve"> will produce a technical</w:t>
      </w:r>
      <w:r>
        <w:rPr>
          <w:rFonts w:hint="eastAsia"/>
          <w:lang w:eastAsia="zh-CN"/>
        </w:rPr>
        <w:t xml:space="preserve"> specification</w:t>
      </w:r>
      <w:r>
        <w:t xml:space="preserve"> that includes</w:t>
      </w:r>
      <w:r>
        <w:rPr>
          <w:rFonts w:hint="eastAsia"/>
          <w:lang w:eastAsia="zh-CN"/>
        </w:rPr>
        <w:t>:</w:t>
      </w:r>
    </w:p>
    <w:p>
      <w:pPr>
        <w:pStyle w:val="3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Architectural requirements, application architecture and application functional aspect of the eMMTel service;</w:t>
      </w:r>
    </w:p>
    <w:p>
      <w:pPr>
        <w:pStyle w:val="3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service enabler layer capability exposure procedures and related APIs, based on architecture and procedures specified in Annex AC.2 of 3GPP TS 23.228 [3] and SA WG2 Rel-18 NG_RTC WID, used in: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I.</w:t>
      </w:r>
      <w:r>
        <w:rPr>
          <w:rFonts w:hint="eastAsia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the call between </w:t>
      </w:r>
      <w:r>
        <w:rPr>
          <w:rFonts w:hint="default" w:ascii="Times New Roman" w:hAnsi="Times New Roman" w:cs="Times New Roman"/>
          <w:lang w:val="en-US" w:eastAsia="zh-CN"/>
        </w:rPr>
        <w:t>application and DCMTSI client</w:t>
      </w:r>
      <w:r>
        <w:rPr>
          <w:rFonts w:hint="eastAsia" w:ascii="Times New Roman" w:hAnsi="Times New Roman" w:cs="Times New Roman"/>
          <w:lang w:val="en-US" w:eastAsia="zh-CN"/>
        </w:rPr>
        <w:t>;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II.</w:t>
      </w:r>
      <w:r>
        <w:rPr>
          <w:rFonts w:hint="eastAsia" w:cs="Times New Roman"/>
          <w:lang w:val="en-US" w:eastAsia="zh-CN"/>
        </w:rPr>
        <w:tab/>
      </w:r>
      <w:r>
        <w:rPr>
          <w:rFonts w:hint="eastAsia" w:cs="Times New Roman"/>
          <w:lang w:val="en-US" w:eastAsia="zh-CN"/>
        </w:rPr>
        <w:t>t</w:t>
      </w:r>
      <w:r>
        <w:rPr>
          <w:rFonts w:hint="eastAsia" w:ascii="Times New Roman" w:hAnsi="Times New Roman" w:cs="Times New Roman"/>
          <w:lang w:val="en-US" w:eastAsia="zh-CN"/>
        </w:rPr>
        <w:t xml:space="preserve">he </w:t>
      </w:r>
      <w:r>
        <w:rPr>
          <w:rFonts w:hint="eastAsia" w:cs="Times New Roman"/>
          <w:lang w:val="en-US" w:eastAsia="zh-CN"/>
        </w:rPr>
        <w:t>Third-Party Call</w:t>
      </w:r>
      <w:r>
        <w:rPr>
          <w:rFonts w:hint="eastAsia" w:ascii="Times New Roman" w:hAnsi="Times New Roman" w:cs="Times New Roman"/>
          <w:lang w:val="en-US" w:eastAsia="zh-CN"/>
        </w:rPr>
        <w:t>;</w:t>
      </w:r>
      <w:r>
        <w:rPr>
          <w:rFonts w:hint="eastAsia" w:cs="Times New Roman"/>
          <w:lang w:val="en-US" w:eastAsia="zh-CN"/>
        </w:rPr>
        <w:t xml:space="preserve"> and</w:t>
      </w:r>
      <w:bookmarkStart w:id="0" w:name="_GoBack"/>
      <w:bookmarkEnd w:id="0"/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III</w:t>
      </w:r>
      <w:r>
        <w:rPr>
          <w:rFonts w:hint="eastAsia" w:cs="Times New Roman"/>
          <w:lang w:val="en-US" w:eastAsia="zh-CN"/>
        </w:rPr>
        <w:tab/>
      </w:r>
      <w:r>
        <w:rPr>
          <w:rFonts w:hint="eastAsia" w:cs="Times New Roman"/>
          <w:lang w:val="en-US" w:eastAsia="zh-CN"/>
        </w:rPr>
        <w:t>the multi-party call.</w:t>
      </w:r>
    </w:p>
    <w:p>
      <w:pPr>
        <w:pStyle w:val="3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necessary application layer architecture and procedures for enabling MMTel service enhanced with Data Channel usage in IMS network, including: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I.</w:t>
      </w:r>
      <w:r>
        <w:rPr>
          <w:rFonts w:hint="eastAsia" w:cs="Times New Roman"/>
          <w:lang w:val="en-US" w:eastAsia="zh-CN"/>
        </w:rPr>
        <w:tab/>
      </w:r>
      <w:r>
        <w:rPr>
          <w:rFonts w:hint="eastAsia" w:cs="Times New Roman"/>
          <w:lang w:val="en-US" w:eastAsia="zh-CN"/>
        </w:rPr>
        <w:t>controlling the downloading of data channel applications on UE by providing data channel application profile to UE; and</w:t>
      </w:r>
    </w:p>
    <w:p>
      <w:pPr>
        <w:pStyle w:val="36"/>
        <w:numPr>
          <w:ilvl w:val="0"/>
          <w:numId w:val="0"/>
        </w:numPr>
        <w:bidi w:val="0"/>
        <w:ind w:left="840" w:leftChars="0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II.</w:t>
      </w:r>
      <w:r>
        <w:rPr>
          <w:rFonts w:hint="eastAsia" w:cs="Times New Roman"/>
          <w:lang w:val="en-US" w:eastAsia="zh-CN"/>
        </w:rPr>
        <w:tab/>
      </w:r>
      <w:r>
        <w:rPr>
          <w:rFonts w:hint="eastAsia" w:cs="Times New Roman"/>
          <w:lang w:val="en-US" w:eastAsia="zh-CN"/>
        </w:rPr>
        <w:t>configuration for the MMTel service, e.g. configuration of the data channel application profile; and</w:t>
      </w:r>
    </w:p>
    <w:p>
      <w:pPr>
        <w:pStyle w:val="3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necessary value added services provided by eMMTel Enabler, e.g. virtual number etc.</w:t>
      </w:r>
    </w:p>
    <w:p>
      <w:pPr>
        <w:pStyle w:val="3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normative requirements will be inputted from the solutions, evaluations and conclusions of the TR23.700-92.</w:t>
      </w:r>
    </w:p>
    <w:p>
      <w:pPr>
        <w:pStyle w:val="34"/>
        <w:rPr>
          <w:rFonts w:hint="eastAsia"/>
        </w:rPr>
      </w:pPr>
      <w:r>
        <w:rPr>
          <w:rFonts w:hint="eastAsia"/>
        </w:rPr>
        <w:t>NOTE </w:t>
      </w:r>
      <w:r>
        <w:rPr>
          <w:rFonts w:hint="eastAsia" w:eastAsia="宋体"/>
          <w:lang w:val="en-US" w:eastAsia="zh-CN"/>
        </w:rPr>
        <w:t>1</w:t>
      </w:r>
      <w:r>
        <w:rPr>
          <w:rFonts w:hint="eastAsia"/>
        </w:rPr>
        <w:tab/>
      </w:r>
      <w:r>
        <w:t>Coordination with SA</w:t>
      </w:r>
      <w:r>
        <w:rPr>
          <w:rFonts w:hint="eastAsia"/>
        </w:rPr>
        <w:t>2</w:t>
      </w:r>
      <w:r>
        <w:rPr>
          <w:rFonts w:hint="eastAsia"/>
          <w:lang w:eastAsia="zh-CN"/>
        </w:rPr>
        <w:t>, SA3</w:t>
      </w:r>
      <w:r>
        <w:rPr>
          <w:rFonts w:hint="eastAsia"/>
        </w:rPr>
        <w:t xml:space="preserve"> and SA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 </w:t>
      </w:r>
      <w:r>
        <w:t>will be required</w:t>
      </w:r>
      <w:r>
        <w:rPr>
          <w:rFonts w:hint="eastAsia"/>
        </w:rPr>
        <w:t>.</w:t>
      </w:r>
    </w:p>
    <w:p>
      <w:pPr>
        <w:pStyle w:val="3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NOTE 2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en-GB"/>
        </w:rPr>
        <w:t xml:space="preserve">Individual solutions, not </w:t>
      </w:r>
      <w:r>
        <w:rPr>
          <w:rFonts w:hint="eastAsia"/>
          <w:lang w:val="en-US" w:eastAsia="zh-CN"/>
        </w:rPr>
        <w:t>covere</w:t>
      </w:r>
      <w:r>
        <w:rPr>
          <w:rFonts w:hint="eastAsia"/>
          <w:lang w:eastAsia="en-GB"/>
        </w:rPr>
        <w:t xml:space="preserve">d under bullet 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en-GB"/>
        </w:rPr>
        <w:t xml:space="preserve"> may be adopted in technical specification </w:t>
      </w:r>
      <w:r>
        <w:rPr>
          <w:rFonts w:hint="eastAsia"/>
          <w:lang w:val="en-US" w:eastAsia="zh-CN"/>
        </w:rPr>
        <w:t>based on the working progress and conclusion of TR 23.700-92.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val="en-US" w:eastAsia="zh-CN"/>
              </w:rPr>
              <w:t>TS</w:t>
            </w:r>
          </w:p>
        </w:tc>
        <w:tc>
          <w:tcPr>
            <w:tcW w:w="1134" w:type="dxa"/>
          </w:tcPr>
          <w:p>
            <w:pPr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val="en-US" w:eastAsia="zh-CN"/>
              </w:rPr>
              <w:t>23.XXX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 w:eastAsiaTheme="minorEastAsia"/>
              </w:rPr>
            </w:pPr>
            <w:r>
              <w:rPr>
                <w:rFonts w:hint="eastAsia" w:ascii="Times New Roman" w:hAnsi="Times New Roman" w:cs="Times New Roman" w:eastAsiaTheme="minorEastAsia"/>
              </w:rPr>
              <w:t>Service aspects for supporting the eMMTel Service</w:t>
            </w:r>
          </w:p>
        </w:tc>
        <w:tc>
          <w:tcPr>
            <w:tcW w:w="993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 xml:space="preserve"> 2024)</w:t>
            </w:r>
          </w:p>
        </w:tc>
        <w:tc>
          <w:tcPr>
            <w:tcW w:w="1074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7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March</w:t>
            </w:r>
            <w:r>
              <w:rPr>
                <w:rFonts w:hint="eastAsia"/>
                <w:lang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>
            <w:pPr>
              <w:rPr>
                <w:rFonts w:ascii="Times New Roman" w:hAnsi="Times New Roman" w:cs="Times New Roman" w:eastAsiaTheme="minorEastAsia"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</w:tbl>
    <w:p>
      <w:pPr>
        <w:pStyle w:val="31"/>
      </w:pPr>
    </w:p>
    <w:p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rFonts w:hint="eastAsia" w:eastAsia="Malgun Gothic"/>
              </w:rPr>
              <w:t>23.222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lang w:eastAsia="zh-CN"/>
              </w:rPr>
              <w:t>Functional architecture and information flows to support Common API Framework for 3GPP Northbound APIs;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Stage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 xml:space="preserve">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 xml:space="preserve">ay introduce some interaction with media function, e.g. </w:t>
            </w:r>
            <w:r>
              <w:rPr>
                <w:lang w:eastAsia="zh-CN"/>
              </w:rPr>
              <w:t>DCMF/MRF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eastAsia="宋体"/>
          <w:lang w:eastAsia="zh-CN"/>
        </w:rPr>
        <w:t>Liu, Yue, China Mobile, liuyueyjy@chinamobile.com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hint="eastAsia"/>
          <w:lang w:eastAsia="zh-CN"/>
        </w:rPr>
        <w:t>SA6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lang w:eastAsia="zh-CN"/>
        </w:rPr>
      </w:pPr>
      <w:r>
        <w:rPr>
          <w:rFonts w:hint="eastAsia"/>
          <w:lang w:eastAsia="zh-CN"/>
        </w:rPr>
        <w:t>Potential impacts to 5G system will be considered by SA2</w:t>
      </w:r>
    </w:p>
    <w:p>
      <w:pPr>
        <w:rPr>
          <w:lang w:eastAsia="zh-CN"/>
        </w:rPr>
      </w:pPr>
      <w:r>
        <w:rPr>
          <w:rFonts w:hint="eastAsia"/>
          <w:lang w:eastAsia="zh-CN"/>
        </w:rPr>
        <w:t>Potential impacts to IMS Data Channel will be considered by SA4</w:t>
      </w:r>
    </w:p>
    <w:p>
      <w:pPr>
        <w:rPr>
          <w:lang w:eastAsia="zh-CN"/>
        </w:rPr>
      </w:pPr>
      <w:r>
        <w:rPr>
          <w:rFonts w:hint="eastAsia"/>
          <w:lang w:eastAsia="zh-CN"/>
        </w:rPr>
        <w:t>Security aspects will be considered by SA3</w:t>
      </w:r>
    </w:p>
    <w:p>
      <w:r>
        <w:rPr>
          <w:rFonts w:hint="eastAsia"/>
          <w:lang w:eastAsia="zh-CN"/>
        </w:rPr>
        <w:t>Charging aspects will be considered by SA5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AT&amp;T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China Unicom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Lenovo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TD-Tech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ZTE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Samsung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9B61DE"/>
    <w:rsid w:val="01B31FD7"/>
    <w:rsid w:val="025F5973"/>
    <w:rsid w:val="02637F69"/>
    <w:rsid w:val="05233EFD"/>
    <w:rsid w:val="05A2106D"/>
    <w:rsid w:val="07D14A60"/>
    <w:rsid w:val="08532912"/>
    <w:rsid w:val="085C5E7A"/>
    <w:rsid w:val="08CD6CBE"/>
    <w:rsid w:val="09D16F5E"/>
    <w:rsid w:val="0AA957C4"/>
    <w:rsid w:val="0AD927DA"/>
    <w:rsid w:val="0B2D79F3"/>
    <w:rsid w:val="0C6322E0"/>
    <w:rsid w:val="0C786A02"/>
    <w:rsid w:val="0C7B7987"/>
    <w:rsid w:val="0C9E158F"/>
    <w:rsid w:val="0D583AF2"/>
    <w:rsid w:val="0D993335"/>
    <w:rsid w:val="0DB05806"/>
    <w:rsid w:val="0F417E94"/>
    <w:rsid w:val="12404300"/>
    <w:rsid w:val="139042F2"/>
    <w:rsid w:val="139C1415"/>
    <w:rsid w:val="15EC1502"/>
    <w:rsid w:val="170035C9"/>
    <w:rsid w:val="177447B9"/>
    <w:rsid w:val="17BB5CAA"/>
    <w:rsid w:val="18A31A7B"/>
    <w:rsid w:val="19206E47"/>
    <w:rsid w:val="194B1DDD"/>
    <w:rsid w:val="19953660"/>
    <w:rsid w:val="1B232D94"/>
    <w:rsid w:val="1B2C5C22"/>
    <w:rsid w:val="1BFD0528"/>
    <w:rsid w:val="1CDA2465"/>
    <w:rsid w:val="1E1259E5"/>
    <w:rsid w:val="1EC03560"/>
    <w:rsid w:val="1F0871D4"/>
    <w:rsid w:val="201A7FB9"/>
    <w:rsid w:val="22166AFA"/>
    <w:rsid w:val="228D583F"/>
    <w:rsid w:val="231F4DAE"/>
    <w:rsid w:val="24952035"/>
    <w:rsid w:val="25772983"/>
    <w:rsid w:val="274F000B"/>
    <w:rsid w:val="287D420E"/>
    <w:rsid w:val="29C8521C"/>
    <w:rsid w:val="29E31177"/>
    <w:rsid w:val="2B305A68"/>
    <w:rsid w:val="2BC43D5D"/>
    <w:rsid w:val="2BF87E00"/>
    <w:rsid w:val="2BFA09B4"/>
    <w:rsid w:val="2C0C2907"/>
    <w:rsid w:val="2D98715B"/>
    <w:rsid w:val="2DCC4132"/>
    <w:rsid w:val="2EAC37A0"/>
    <w:rsid w:val="30AD4D00"/>
    <w:rsid w:val="31A81E84"/>
    <w:rsid w:val="325F35CC"/>
    <w:rsid w:val="33111456"/>
    <w:rsid w:val="338D4B2A"/>
    <w:rsid w:val="341B4F41"/>
    <w:rsid w:val="35486AF7"/>
    <w:rsid w:val="356C32E5"/>
    <w:rsid w:val="35C878B5"/>
    <w:rsid w:val="38C44830"/>
    <w:rsid w:val="39025C9D"/>
    <w:rsid w:val="39C82DD9"/>
    <w:rsid w:val="3A1032F0"/>
    <w:rsid w:val="3BAC41A7"/>
    <w:rsid w:val="3CA4480B"/>
    <w:rsid w:val="3CB90F2D"/>
    <w:rsid w:val="3CF47AC1"/>
    <w:rsid w:val="3CF95341"/>
    <w:rsid w:val="3F210422"/>
    <w:rsid w:val="3F3F1BD0"/>
    <w:rsid w:val="3F4D5963"/>
    <w:rsid w:val="3F867DC6"/>
    <w:rsid w:val="40955CE8"/>
    <w:rsid w:val="40A21818"/>
    <w:rsid w:val="41516138"/>
    <w:rsid w:val="41BC57E8"/>
    <w:rsid w:val="41F25CC2"/>
    <w:rsid w:val="42CC5625"/>
    <w:rsid w:val="43D47D05"/>
    <w:rsid w:val="44D067BA"/>
    <w:rsid w:val="45434DB7"/>
    <w:rsid w:val="458A6113"/>
    <w:rsid w:val="45D61C79"/>
    <w:rsid w:val="46431454"/>
    <w:rsid w:val="465774CF"/>
    <w:rsid w:val="4664740A"/>
    <w:rsid w:val="47513B8F"/>
    <w:rsid w:val="48DB1977"/>
    <w:rsid w:val="49D56BB6"/>
    <w:rsid w:val="4A49386D"/>
    <w:rsid w:val="4A6F5702"/>
    <w:rsid w:val="4A8017C9"/>
    <w:rsid w:val="4AFC3310"/>
    <w:rsid w:val="4BB275BC"/>
    <w:rsid w:val="4C43492C"/>
    <w:rsid w:val="4CF3344B"/>
    <w:rsid w:val="4E3166D6"/>
    <w:rsid w:val="4F46621E"/>
    <w:rsid w:val="4FAD1C74"/>
    <w:rsid w:val="4FD64204"/>
    <w:rsid w:val="50816EA0"/>
    <w:rsid w:val="50E90E4D"/>
    <w:rsid w:val="5122505F"/>
    <w:rsid w:val="514A11B8"/>
    <w:rsid w:val="51A5377F"/>
    <w:rsid w:val="535B72A5"/>
    <w:rsid w:val="53871FC0"/>
    <w:rsid w:val="53BF50F3"/>
    <w:rsid w:val="5409426E"/>
    <w:rsid w:val="563958B2"/>
    <w:rsid w:val="57466C3E"/>
    <w:rsid w:val="582043A3"/>
    <w:rsid w:val="58B21713"/>
    <w:rsid w:val="59FF35B4"/>
    <w:rsid w:val="5A413124"/>
    <w:rsid w:val="5A4E1134"/>
    <w:rsid w:val="5BD42235"/>
    <w:rsid w:val="5C1B4BA8"/>
    <w:rsid w:val="5C3D63E1"/>
    <w:rsid w:val="5D3F4D0A"/>
    <w:rsid w:val="5E0C0BDB"/>
    <w:rsid w:val="5F6A0B17"/>
    <w:rsid w:val="61A02E98"/>
    <w:rsid w:val="61EF0C08"/>
    <w:rsid w:val="636A0FCD"/>
    <w:rsid w:val="637D2246"/>
    <w:rsid w:val="653B6D24"/>
    <w:rsid w:val="66D1263E"/>
    <w:rsid w:val="6715402C"/>
    <w:rsid w:val="67491003"/>
    <w:rsid w:val="6838670D"/>
    <w:rsid w:val="6AFE019A"/>
    <w:rsid w:val="6B7867DE"/>
    <w:rsid w:val="6D6316D7"/>
    <w:rsid w:val="6F784AF0"/>
    <w:rsid w:val="702F30C0"/>
    <w:rsid w:val="7099044B"/>
    <w:rsid w:val="72131EB6"/>
    <w:rsid w:val="72ED0FEB"/>
    <w:rsid w:val="73121DD9"/>
    <w:rsid w:val="7333450C"/>
    <w:rsid w:val="734170A4"/>
    <w:rsid w:val="74C54CA2"/>
    <w:rsid w:val="759148EE"/>
    <w:rsid w:val="75BA64B4"/>
    <w:rsid w:val="775F23E8"/>
    <w:rsid w:val="7922438A"/>
    <w:rsid w:val="79A65BC9"/>
    <w:rsid w:val="7A155DD9"/>
    <w:rsid w:val="7A541141"/>
    <w:rsid w:val="7AD60415"/>
    <w:rsid w:val="7B416646"/>
    <w:rsid w:val="7C684EB3"/>
    <w:rsid w:val="7CFF5A41"/>
    <w:rsid w:val="7D9A2EA0"/>
    <w:rsid w:val="7E633E69"/>
    <w:rsid w:val="7E8A1B2B"/>
    <w:rsid w:val="7F83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qFormat/>
    <w:uiPriority w:val="0"/>
    <w:pPr>
      <w:ind w:left="1135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toc 8"/>
    <w:basedOn w:val="1"/>
    <w:next w:val="1"/>
    <w:qFormat/>
    <w:uiPriority w:val="0"/>
    <w:pPr>
      <w:spacing w:after="100"/>
      <w:ind w:left="1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toc 9"/>
    <w:basedOn w:val="12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page number"/>
    <w:basedOn w:val="18"/>
    <w:qFormat/>
    <w:uiPriority w:val="0"/>
  </w:style>
  <w:style w:type="paragraph" w:customStyle="1" w:styleId="20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35">
    <w:name w:val="B2"/>
    <w:basedOn w:val="9"/>
    <w:qFormat/>
    <w:uiPriority w:val="0"/>
  </w:style>
  <w:style w:type="paragraph" w:customStyle="1" w:styleId="36">
    <w:name w:val="B3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1125</Words>
  <Characters>6418</Characters>
  <Lines>53</Lines>
  <Paragraphs>15</Paragraphs>
  <TotalTime>0</TotalTime>
  <ScaleCrop>false</ScaleCrop>
  <LinksUpToDate>false</LinksUpToDate>
  <CharactersWithSpaces>7528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liuyue0504</cp:lastModifiedBy>
  <cp:lastPrinted>2001-04-23T09:30:00Z</cp:lastPrinted>
  <dcterms:modified xsi:type="dcterms:W3CDTF">2024-05-13T13:49:47Z</dcterms:modified>
  <dc:title>Source: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6A800A8C5D6B4A7BB390B7B790F4434F</vt:lpwstr>
  </property>
</Properties>
</file>